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9990" w:type="dxa"/>
        <w:tblInd w:w="-4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620"/>
        <w:gridCol w:w="1560"/>
        <w:gridCol w:w="1185"/>
        <w:gridCol w:w="3015"/>
        <w:gridCol w:w="102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5" w:hRule="atLeast"/>
        </w:trPr>
        <w:tc>
          <w:tcPr>
            <w:tcW w:w="999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宋体" w:eastAsia="黑体" w:cs="黑体"/>
                <w:b/>
                <w:bCs/>
                <w:i w:val="0"/>
                <w:iCs w:val="0"/>
                <w:color w:val="000000"/>
                <w:sz w:val="32"/>
                <w:szCs w:val="32"/>
                <w:u w:val="none"/>
                <w:lang w:val="en-US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贵州商学院学费标准一览表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具体实施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收费单位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收费项目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计费单位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收费标准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批准机关及文号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市场营销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国际商务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物流管理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投资学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物联网工程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人力资源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电子商务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酒店管理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管理科学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金融工程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国际经济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与贸易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7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数据科学与大数据技术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会计学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工商管理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视觉传达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设计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贸易经济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网络工程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审计学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保险学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税收学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计算机科学与技术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4200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环境设计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9000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艺术类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公共事业</w:t>
            </w:r>
          </w:p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旅游管理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7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会展经济与管理 （中外合作办学）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22000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黔发改收费〔2020〕929号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数字经济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1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应急管理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经济统计学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6" w:hRule="atLeast"/>
        </w:trPr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贵州商学院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商务英语</w:t>
            </w:r>
          </w:p>
        </w:tc>
        <w:tc>
          <w:tcPr>
            <w:tcW w:w="1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元/生.学年</w:t>
            </w:r>
          </w:p>
        </w:tc>
        <w:tc>
          <w:tcPr>
            <w:tcW w:w="11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4100</w:t>
            </w:r>
          </w:p>
        </w:tc>
        <w:tc>
          <w:tcPr>
            <w:tcW w:w="30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黔发改收费〔2014〕642号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>
            <w:pPr>
              <w:jc w:val="left"/>
              <w:rPr>
                <w:rFonts w:hint="eastAsia" w:ascii="仿宋" w:hAnsi="仿宋" w:eastAsia="仿宋" w:cs="仿宋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59F68D7-D720-4CB7-9FA2-82999C4E011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62FC1F8-6EF7-4E0A-9D81-30A029DEE469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3" w:fontKey="{E20CBBE1-5033-4440-9956-8E4A2E939592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39331B22-2248-4DE1-A618-15E0B0F510AC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llYjVjNTZmY2E2Y2MyYzlkZTZiYjE5ZjY5Y2UzN2EifQ=="/>
  </w:docVars>
  <w:rsids>
    <w:rsidRoot w:val="12496506"/>
    <w:rsid w:val="124965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2024-05-06T00:41:00Z</dcterms:created>
  <dc:creator>momo</dc:creator>
  <cp:lastModifiedBy>momo</cp:lastModifiedBy>
  <dcterms:modified xsi:type="dcterms:W3CDTF">2024-05-06T00:42:10Z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A335F21FFED54C2C9ACB5F9B3CDBA1AE_11</vt:lpwstr>
  </property>
</Properties>
</file>